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Terms and Conditions of Use of the Migrate World Platform (Golden Residency Program in the Sultanate of Oman)</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Last Updated: 30 January 2026</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0"/>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Definition and Acceptance of Terms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These terms and conditions (“Terms”) govern your use of the Migrate World company’s electronic platform dedicated to promoting the Golden Residency Program in the Sultanate of Oman (“the platform”). By using the platform, you acknowledge that you have read and understood these Terms and agree to be bound by them, in addition to the Privacy Policy updated on 30 January 2026. If you do not agree to any of these Terms, please refrain from using the platform.</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1"/>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Nature of the Platform and Services Provided</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 platform is a website belonging to Migrate World (a private company) that aims to promote and provide information, consultations, and communication with those interested in the Golden Residency Program in the Sultanate of Oman. The platform provides general information and guidance about the program, and allows users to communicate with the company to obtain consultations and related support services. The services provided through the platform may include advisory services or facilitation of procedures in exchange for agreed-upon fees. The platform is not considered a channel for submitting official applications for obtaining the Golden Residency or for uploading official government documents; it is dedicated solely to awareness, marketing, providing advice, and communication purposes. Applications are submitted exclusively through the official government platform via the link available on our platform.</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2"/>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Disclaimer Regarding Governmental Status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Migrate World is an independent private company and not a government entity. The platform itself is not affiliated with any Omani government entity, nor is it a substitute for official government websites or channels for submitting residency applications. The user cannot submit the official Golden Residency application or upload the official documents required for this program through this platform; official applications can only be submitted through the relevant government channels (such as the official portal for the Golden Residency Program). The platform’s role is limited to providing information and advisory and promotional services, and the company does not issue any official approvals or government decisions through the platform.</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3"/>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Relationship with Government Entities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lastRenderedPageBreak/>
        <w:t>Migrate World may cooperate with the Omani government entities concerned with the Golden Residency Program to facilitate providing services to investors, including being an authorized key operational partner of the program. This cooperation does not mean that the company officially represents those entities or acts on their behalf. The company’s role remains advisory and coordinative, in addition to its operational role in the first stage of processing applications under the approved authorization, and does not extend to any sovereign authority or interference in the final decision. The company has no authority to make the final decision of approval or rejection, or to issue any sovereign decision or final government approval on behalf of the competent authorities. Any services or support provided by the company are offered within the official procedures in force, and this should not be interpreted as exempting the user from complying with the approved governmental requirements to obtain the Golden Residency, nor is communication with the company or through the platform considered an official direct communication with the government.</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4"/>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Delegated Operational Role and Limits of Authority</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 Migrate World platform is used for purposes of awareness, promotion, providing specialized consultations, investment guidance, and professional interaction with investors. It also includes a direct link that enables the user to navigate to the official government platform of the Ministry of Commerce, Industry and Investment Promotion to complete application procedures, and no applications or document uploads are done through the company’s platform. Within the scope of the approved delegation and operational authority, Migrate World plays a fundamental professional operational role in the first stage of the processing cycle for applications submitted via the official government platform, through the authorized access and usage rights it has on that platform. This allows the company to handle applications submitted via government channels within the approved authority: reviewing them technically, verifying the accuracy of data and documents, exercising the necessary due diligence, evaluating the investor’s eligibility, and guiding the investor to choose the most suitable track or investment option according to the program’s approved criteria. This stage includes – without limitation – initial scrutiny, completing any missing requirements, compliance verification, preliminary professional evaluation, and follow-up and guidance with the investor, in preparation for issuing the preliminary operational approval and transferring the file to the Ministry of Commerce, Industry and Investment Promotion to complete the second and final stage of processing and make the sovereign decision of approval or rejection. This preliminary operational approval does not constitute final acceptance or a binding administrative decision. The user acknowledges that this operational role is exercised within the framework of the approved delegation, and is not to be construed in any way as submitting applications outside official channels, or as government representation, or an undertaking to achieve a result, or a guarantee of final approval.</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5"/>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User Obligations and Prohibited Use</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lastRenderedPageBreak/>
        <w:t>When using this platform, the user must abide by a set of rules to ensure lawful and proper use, including the following:</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No misuse of the platform or causing harm to it: The user must refrain from any act that could disrupt the platform or cause damage to it or its systems, including, but not limited to, introducing viruses or malicious software or performing any action that causes a technical malfunction. Likewise, any attempt to gain unauthorized access to any part of the platform or its servers or to bypass the security measures in place is prohibited.</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Compliance with laws and regulations: The platform must not be used for any unlawful activity or in a manner that violates the applicable laws and regulations in the Sultanate of Oman or in the user’s home jurisdiction. This includes not using it to commit crimes, transmit illegal information, or violate others’ rights (such as intellectual property rights or privacy).</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No user-submitted content or materials: The platform is dedicated to displaying the company’s information and services, information about the Golden Residency Program in Oman, and direct communication with users. Therefore, users are prohibited from submitting or posting any content on the platform. The platform does not provide forums or interactive spaces for user posts or comments, and any attempt to input content by the user (including text, images, or links) may be removed immediately.</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No misuse of communication services: When using any feature to communicate with the company via the platform (such as contact forms or booking consultations), the user must provide correct and accurate information and must not send any messages containing inappropriate or prohibited content.</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No hacking or unlawful data collection: The user is prohibited from attempting to hack the platform, access data not intended for them, perform data mining, or use automated means (such as bots or web scraping) to collect information from the platform without authorization.</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In the event of a violation of any of the above obligations, the company reserves the right to take appropriate measures, including canceling or restricting the user’s access to the platform or its services, reporting to the competent authorities when necessary, and seeking compensation for any resulting damage. The user acknowledges that any breach of these Terms may subject them to civil and/or criminal liability according to applicable laws.</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6"/>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Paid Services and Payment Terms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lastRenderedPageBreak/>
        <w:t>The company may offer certain services or features through the platform for a fee (such as advanced consulting services or customized assistance packages). If the user decides to utilize any paid service, the following provisions apply:</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Payment of fees: The user must pay all fees or costs announced for that service according to the specified prices and currency, using the approved payment methods and within the specified timeframes. The user must provide correct and accurate payment information (such as card or bank transfer details) and ensure sufficient funds are available to complete the payment.</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Non-payment or payment reversal: If the user fails to pay the due amount or cancels the payment after it has been completed, the company has the right to suspend providing the requested service or cancel it entirely. The user will bear any banking costs or fees resulting from a payment being declined or reversed (if any).</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Refund policy: Unless explicitly stated otherwise in specific terms for a particular service, all payments are final and non-refundable after the agreed-upon service or product has been provided. Refunds will only be issued to the user in cases required by law or at the company’s sole discretion in exceptional circumstances.</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Price and fee modifications: The company reserves the right to modify the prices of paid services or impose new fees at any time. The user will be informed of any change in fees by updating the information on the platform or through available communication channels before the change takes effect. The user’s continued use of paid services after a price change constitutes implicit acceptance of the modified prices.</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 user acknowledges that merely paying any fees for the company’s services does not automatically guarantee achieving the desired results (such as obtaining the Golden Residency), as this remains subject to fulfilling official requirements and obtaining approval from the competent government authorities.</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7"/>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Intellectual Property Rights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All intellectual property rights of the platform and its contents belong to Migrate World or its licensed parties. This includes, but is not limited to, all text, trade names and logos (“Migrate World”), images, designs, graphics, software, databases, and any other content that appears on the platform. These materials are protected by applicable local and international intellectual property laws.</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 xml:space="preserve">The user is granted a limited, non-exclusive license to use the platform and its content for personal, non-commercial purposes in accordance with these Terms. The user is prohibited from copying, reproducing, publishing, broadcasting, modifying, or </w:t>
      </w:r>
      <w:r w:rsidRPr="007F70A4">
        <w:rPr>
          <w:rFonts w:ascii="Aptos" w:eastAsia="Times New Roman" w:hAnsi="Aptos" w:cs="Times New Roman"/>
          <w:color w:val="000000"/>
          <w:sz w:val="24"/>
          <w:szCs w:val="24"/>
        </w:rPr>
        <w:lastRenderedPageBreak/>
        <w:t>distributing any part of the platform’s content or design or its trademarks without prior written permission from the company. It is also forbidden to use the “Migrate World” name or logo, or any other company trademarks, in any promotional, media, or other material without official approval.</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Any unauthorized use of the platform’s content or any violation of the company’s intellectual property rights will subject the violator to civil and criminal legal actions in accordance with applicable laws. The company reserves all legal rights to defend its intellectual property, including seeking appropriate compensation for any damage.</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8"/>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Disclaimer and Limitation of Liability</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Disclaimer of Warranties: The platform and all information and services available through it are provided “as is” and “as available” without any express or implied warranties by the company. The company makes no commitment regarding the accuracy, timeliness, or completeness of the platform’s content, or its suitability for a particular purpose. Although the company strives to update information periodically and maintain accuracy, it does not guarantee that the platform is entirely free of errors, interruptions, or security vulnerabilities. The user uses the platform and its services at their own risk, and should verify important information from official sources when necessary. The company also does not guarantee any specific results for the user from relying on the information or advisory services provided via the platform – including (for example) obtaining approval of a Golden Residency application – as granting official residency is exclusively within the authority of the competent Omani government authorities and beyond the company’s control.</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Limitation of Liability: To the maximum extent permitted by law, the company (including its directors, employees, and agents) assumes no liability towards the user for any damages or losses arising from the use of the platform or the inability to use it, or from benefiting from any information or services it provides. This includes any direct, indirect, special, or consequential damages, such as loss of profits, loss of opportunities, loss of data, business interruption, or delay in obtaining service, even if such damages are foreseeable or the company has been advised of their possibility. For example, the company will not be responsible for any delay or rejection by government entities regarding Golden Residency applications, or for any reliance by the user on information that may be not up-to-date on the platform. The user acknowledges that the company is not obligated to update the platform’s content immediately or continuously. In all cases, if any legal liability is established against the company by a final court ruling, the company’s total liability will not exceed, at most, the amount the user paid (if any) for the related service, within the limits permitted by law.</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 xml:space="preserve">Third-Party Content and Links: The platform may include links to other websites operated by third parties (for example: official government sites, business partners, or </w:t>
      </w:r>
      <w:r w:rsidRPr="007F70A4">
        <w:rPr>
          <w:rFonts w:ascii="Aptos" w:eastAsia="Times New Roman" w:hAnsi="Aptos" w:cs="Times New Roman"/>
          <w:color w:val="000000"/>
          <w:sz w:val="24"/>
          <w:szCs w:val="24"/>
        </w:rPr>
        <w:lastRenderedPageBreak/>
        <w:t>additional information sources). These links are provided for the user’s convenience and to offer supplementary information only. The presence of any link to an external site does not imply the company’s endorsement of its content or guarantee of its safety, nor does it indicate any contractual or legal relationship between the company and the owner of that site. The company bears no responsibility for the content, services, or policies of external websites that may be accessed through links on the platform, including their availability, the accuracy of their information, or their technical security. Any external site accessed via those links is used at the user’s own risk, and the user is advised to review the terms of use and privacy policies of those sites before engaging with them.</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Technical Security: The company makes reasonable efforts to maintain the platform’s security and the integrity of its systems, but it does not guarantee that the platform is completely free of harmful elements or hacking attempts. The user is responsible for securing their own electronic devices (such as computer or phone) against viruses and spyware, and is advised to use appropriate security software and update it regularly. The company is not responsible for any damage that may affect the user’s devices or data as a result of accessing the platform or downloading any materials from it, unless such damage is directly caused by the company’s gross negligence.</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19"/>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Modification of Terms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 company reserves the right to modify or update these Terms at any time it deems appropriate. Any modifications become effective once the updated version of the Terms is posted on the platform, with the “Last Updated” date above adjusted to indicate that. Your continued use of the platform after any modifications are posted constitutes implicit acceptance of the new Terms. If you have reservations about any modification, you must immediately stop using the platform. We advise you to review this page periodically to stay informed of the latest version of the Terms. The company is not obligated to notify each user of the changes individually, and posting the modifications on the platform is considered sufficient notice to users.</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20"/>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Force Majeure and Sovereign Decisions</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Migrate World assumes no legal responsibility, whether direct or indirect, for any delay, suspension, cancellation, or modification— in whole or in part —of the Golden Residency Program in the Sultanate of Oman or its procedures or requirements, if that results from sovereign decisions, regulatory or legislative changes, instructions issued by the competent government authorities, or from circumstances beyond the company’s control. This includes, without limitation, changes in laws or regulations, public policies, exceptional circumstances, or any events of force majeure. The user acknowledges that such matters are outside the company’s control and do not entitle the user to any compensation or refund of fees.</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lastRenderedPageBreak/>
        <w:br/>
      </w:r>
    </w:p>
    <w:p w:rsidR="007F70A4" w:rsidRPr="007F70A4" w:rsidRDefault="007F70A4" w:rsidP="007F70A4">
      <w:pPr>
        <w:numPr>
          <w:ilvl w:val="0"/>
          <w:numId w:val="21"/>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No Agency, Representation, or Partnership</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 use of the platform, communication with Migrate World, or benefiting from any information, consultations, or services provided through it does not create any partnership, agency, legal representation, or binding contractual relationship between the user and the company, unless a separate written agreement is duly signed by both parties explicitly establishing such a relationship. The user acknowledges that the company’s role is limited to providing information and advisory and coordination services as outlined in these Terms, without bearing any responsibility for decisions or final outcomes issued by the competent authorities.</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22"/>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Governing Language</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These Terms and Conditions have been drafted in Arabic, and the Arabic version is the legally binding and authoritative version. If these Terms are translated into any other language, the Arabic text shall prevail in the event of any conflict or discrepancy in interpretation or application.</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23"/>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Governing Law and Jurisdiction</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These Terms, and any dispute or claim arising out of or relating to their subject matter or the use of the platform, are governed by the laws in force in the Sultanate of Oman. The courts of the Sultanate of Oman (specifically, the competent courts within Oman) have exclusive jurisdiction to hear any dispute or claim of this nature. By using the platform, the user expressly consents to the jurisdiction of the Omani courts to settle any legal dispute related to these Terms or the use of the platform. If any provision of these Terms is found to be unlawful or unenforceable under Omani law, that will not affect the legality or enforceability of the remaining provisions, which will remain in full force and effect.</w:t>
      </w:r>
    </w:p>
    <w:p w:rsidR="007F70A4" w:rsidRPr="007F70A4" w:rsidRDefault="007F70A4" w:rsidP="007F70A4">
      <w:pPr>
        <w:spacing w:after="0" w:line="240" w:lineRule="auto"/>
        <w:rPr>
          <w:rFonts w:ascii="Times New Roman" w:eastAsia="Times New Roman" w:hAnsi="Times New Roman" w:cs="Times New Roman"/>
          <w:sz w:val="24"/>
          <w:szCs w:val="24"/>
        </w:rPr>
      </w:pPr>
      <w:r w:rsidRPr="007F70A4">
        <w:rPr>
          <w:rFonts w:ascii="Times New Roman" w:eastAsia="Times New Roman" w:hAnsi="Times New Roman" w:cs="Times New Roman"/>
          <w:sz w:val="24"/>
          <w:szCs w:val="24"/>
        </w:rPr>
        <w:br/>
      </w:r>
    </w:p>
    <w:p w:rsidR="007F70A4" w:rsidRPr="007F70A4" w:rsidRDefault="007F70A4" w:rsidP="007F70A4">
      <w:pPr>
        <w:numPr>
          <w:ilvl w:val="0"/>
          <w:numId w:val="24"/>
        </w:numPr>
        <w:spacing w:line="240" w:lineRule="auto"/>
        <w:textAlignment w:val="baseline"/>
        <w:rPr>
          <w:rFonts w:ascii="Aptos" w:eastAsia="Times New Roman" w:hAnsi="Aptos" w:cs="Times New Roman"/>
          <w:color w:val="000000"/>
          <w:sz w:val="24"/>
          <w:szCs w:val="24"/>
        </w:rPr>
      </w:pPr>
      <w:r w:rsidRPr="007F70A4">
        <w:rPr>
          <w:rFonts w:ascii="Aptos" w:eastAsia="Times New Roman" w:hAnsi="Aptos" w:cs="Times New Roman"/>
          <w:color w:val="000000"/>
          <w:sz w:val="24"/>
          <w:szCs w:val="24"/>
        </w:rPr>
        <w:t>Final Acknowledgment</w:t>
      </w: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By using this platform, you acknowledge that you have read these Terms and Conditions, fully understood them, and agree to abide by them. If you have any inquiry regarding these Terms, you can contact Migrate World via the contact channels provided on the platform. Thank you for choosing the Migrate World platform, and we wish you a beneficial and safe experience.</w:t>
      </w:r>
    </w:p>
    <w:p w:rsidR="007F70A4" w:rsidRPr="007F70A4" w:rsidRDefault="007F70A4" w:rsidP="007F70A4">
      <w:pPr>
        <w:spacing w:after="0" w:line="240" w:lineRule="auto"/>
        <w:rPr>
          <w:rFonts w:ascii="Times New Roman" w:eastAsia="Times New Roman" w:hAnsi="Times New Roman" w:cs="Times New Roman"/>
          <w:sz w:val="24"/>
          <w:szCs w:val="24"/>
        </w:rPr>
      </w:pPr>
    </w:p>
    <w:p w:rsidR="007F70A4" w:rsidRPr="007F70A4" w:rsidRDefault="007F70A4" w:rsidP="007F70A4">
      <w:pPr>
        <w:spacing w:line="240" w:lineRule="auto"/>
        <w:rPr>
          <w:rFonts w:ascii="Times New Roman" w:eastAsia="Times New Roman" w:hAnsi="Times New Roman" w:cs="Times New Roman"/>
          <w:sz w:val="24"/>
          <w:szCs w:val="24"/>
        </w:rPr>
      </w:pPr>
      <w:r w:rsidRPr="007F70A4">
        <w:rPr>
          <w:rFonts w:ascii="Aptos" w:eastAsia="Times New Roman" w:hAnsi="Aptos" w:cs="Times New Roman"/>
          <w:color w:val="000000"/>
          <w:sz w:val="24"/>
          <w:szCs w:val="24"/>
        </w:rPr>
        <w:t>All rights reserved. Migrate World Company, 2026.</w:t>
      </w:r>
    </w:p>
    <w:p w:rsidR="007F70A4" w:rsidRPr="007F70A4" w:rsidRDefault="007F70A4" w:rsidP="007F70A4">
      <w:pPr>
        <w:bidi/>
        <w:spacing w:line="240" w:lineRule="auto"/>
        <w:jc w:val="both"/>
        <w:rPr>
          <w:rFonts w:ascii="Aptos" w:eastAsia="Times New Roman" w:hAnsi="Aptos" w:cs="Times New Roman"/>
          <w:color w:val="000000"/>
          <w:sz w:val="20"/>
          <w:szCs w:val="20"/>
        </w:rPr>
      </w:pPr>
      <w:bookmarkStart w:id="0" w:name="_GoBack"/>
      <w:bookmarkEnd w:id="0"/>
    </w:p>
    <w:p w:rsidR="007F70A4" w:rsidRDefault="007F70A4" w:rsidP="007F70A4">
      <w:pPr>
        <w:bidi/>
        <w:spacing w:line="240" w:lineRule="auto"/>
        <w:jc w:val="both"/>
        <w:rPr>
          <w:rFonts w:ascii="Aptos" w:eastAsia="Times New Roman" w:hAnsi="Aptos" w:cs="Times New Roman"/>
          <w:color w:val="000000"/>
          <w:sz w:val="20"/>
          <w:szCs w:val="20"/>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شروط وأحكام استخدام منصة عالم الهجرة (برنامج الإقامة الذهبية في سلطنة عُمان)</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آخر تحديث: 30 يناير 2026</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xml:space="preserve">1. </w:t>
      </w:r>
      <w:r w:rsidRPr="007F70A4">
        <w:rPr>
          <w:rFonts w:ascii="Aptos" w:eastAsia="Times New Roman" w:hAnsi="Aptos" w:cs="Times New Roman"/>
          <w:b/>
          <w:bCs/>
          <w:color w:val="000000"/>
          <w:sz w:val="20"/>
          <w:szCs w:val="20"/>
          <w:rtl/>
        </w:rPr>
        <w:t>التعريف وقبول الشروط</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هذه الشروط والأحكام (“الشروط”) تحكم استخدامك لمنصة شركة عالم الهجرة الإلكترونية المخصّصة للترويج لبرنامج الإقامة الذهبية في سلطنة عُمان (“المنصة”). باستخدامك المنصة، فإنك تقر أنك قرأت هذه الشروط وفهمتها وتوافق على الالتزام بها، إضافةً إلى سياسة الخصوصية المحدَّثة بتاريخ 30 يناير 2026. إذا كنت لا توافق على أي من هذه الشروط، يرجى الامتناع عن استخدام المنصة.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xml:space="preserve">2. </w:t>
      </w:r>
      <w:r w:rsidRPr="007F70A4">
        <w:rPr>
          <w:rFonts w:ascii="Aptos" w:eastAsia="Times New Roman" w:hAnsi="Aptos" w:cs="Times New Roman"/>
          <w:b/>
          <w:bCs/>
          <w:color w:val="000000"/>
          <w:sz w:val="20"/>
          <w:szCs w:val="20"/>
          <w:rtl/>
        </w:rPr>
        <w:t>طبيعة المنصة والخدمات المقدمة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المنصة هي موقع إلكتروني تابع لشركة عالم الهجرة (شركة خاصة) يهدف إلى الترويج وتقديم المعلومات والاستشارات والتواصل مع المهتمين ببرنامج الإقامة الذهبية في سلطنة عمان. توفر المنصة معلومات عامة وإرشادات حول البرنامج، وتتيح للمستخدمين التواصل مع الشركة للحصول على استشارات وخدمات مساندة ذات صلة. قد تشمل الخدمات المقدمة عبر المنصة خدمات استشارية أو تسهيل إجراءات مقابل رسوم مدفوعة يتم الاتفاق عليها. لا تعتبر المنصة قناة لتقديم طلبات رسمية للحصول على الإقامة الذهبية أو لرفع مستندات حكومية؛ فهي مخصّصة لأغراض التوعية والتسويق وتقديم المشورة والتواصل فقط. ويتم التقديم حصريًا عبر المنصة الحكومية الرسمية من خلال الرابط المتاح على منصتنا.</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xml:space="preserve">3. </w:t>
      </w:r>
      <w:r w:rsidRPr="007F70A4">
        <w:rPr>
          <w:rFonts w:ascii="Aptos" w:eastAsia="Times New Roman" w:hAnsi="Aptos" w:cs="Times New Roman"/>
          <w:b/>
          <w:bCs/>
          <w:color w:val="000000"/>
          <w:sz w:val="20"/>
          <w:szCs w:val="20"/>
          <w:rtl/>
        </w:rPr>
        <w:t>إخلاء المسؤولية بشأن الصفة الحكومية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شركة عالم الهجرة هي شركة مستقلة خاصة وليست جهة حكومية. المنصة نفسها ليست تابعة لأي جهة حكومية عمانية، ولا تُعَد بديلاً عن المواقع أو القنوات الحكومية الرسمية لتقديم طلبات الإقامة. لا يمكن للمستخدم عبر هذه المنصة تقديم طلب الإقامة الذهبية الرسمي أو تحميل المستندات الرسمية المطلوبة لهذا البرنامج؛ إذ إن تقديم الطلبات الرسمية يتم فقط من خلال القنوات الحكومية المختصة (مثل البوابة الرسمية لبرنامج الإقامة الذهبية). يقتصر دور المنصة على توفير المعلومات والخدمات الاستشارية والترويجية، ولا تصدر الشركة عبر المنصة أي موافقات رسمية أو قرارات حكومية.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xml:space="preserve">4. </w:t>
      </w:r>
      <w:r w:rsidRPr="007F70A4">
        <w:rPr>
          <w:rFonts w:ascii="Aptos" w:eastAsia="Times New Roman" w:hAnsi="Aptos" w:cs="Times New Roman"/>
          <w:b/>
          <w:bCs/>
          <w:color w:val="000000"/>
          <w:sz w:val="20"/>
          <w:szCs w:val="20"/>
          <w:rtl/>
        </w:rPr>
        <w:t>العلاقة مع الجهات الحكومية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قد تتعاون شركة عالم الهجرة مع الجهات الحكومية العُمانية المعنية ببرنامج الإقامة الذهبية لتسهيل تقديم الخدمات للمستثمرين، بما في ذلك كونها شريكًا تشغيليًا رئيسيًا ومعتمدًا للبرنامج. ولا يعني هذا التعاون أن الشركة تمثل تلك الجهات رسميًا أو تنوب عنها. ويبقى دور الشركة استشاريًا وتنسيقيًا، إضافةً إلى دورها التشغيلي في المرحلة الأولى من معالجة الطلبات وفق التفويض المعتمد، دون أن يشمل ذلك أي صلاحية سيادية أو تدخل في القرار النهائي. ولا تملك الشركة أي صلاحية لاتخاذ القرار النهائي بالموافقة أو الرفض أو إصدار أي قرار سيادي أو موافقة حكومية نهائية نيابةً عن الجهات المختصة. وتُقدَّم أي خدمات أو دعم من قبل الشركة ضمن الإجراءات الرسمية المعمول بها، ولا يُفسَّر ذلك على أنه إعفاء للمستخدم من الالتزام بالمتطلبات الحكومية المعتمدة للحصول على الإقامة الذهبية، كما لا يُعدّ التواصل مع الشركة أو عبر المنصة تواصلاً رسميًا مباشرًا مع الحكومة.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b/>
          <w:bCs/>
          <w:color w:val="000000"/>
          <w:sz w:val="20"/>
          <w:szCs w:val="20"/>
          <w:rtl/>
        </w:rPr>
        <w:t> </w:t>
      </w:r>
      <w:r w:rsidRPr="007F70A4">
        <w:rPr>
          <w:rFonts w:ascii="Aptos" w:eastAsia="Times New Roman" w:hAnsi="Aptos" w:cs="Times New Roman"/>
          <w:color w:val="000000"/>
          <w:sz w:val="20"/>
          <w:szCs w:val="20"/>
          <w:rtl/>
        </w:rPr>
        <w:t>5.</w:t>
      </w:r>
      <w:r w:rsidRPr="007F70A4">
        <w:rPr>
          <w:rFonts w:ascii="Aptos" w:eastAsia="Times New Roman" w:hAnsi="Aptos" w:cs="Times New Roman"/>
          <w:b/>
          <w:bCs/>
          <w:color w:val="000000"/>
          <w:sz w:val="20"/>
          <w:szCs w:val="20"/>
          <w:rtl/>
        </w:rPr>
        <w:t>الدور التشغيلي المفوَّض وحدود الصلاحيات</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تُستخدم منصة شركة عالم الهجرة لأغراض التوعية، الترويج، تقديم الاستشارات المتخصصة، الإرشاد الاستثماري، والتفاعل المهني مع المستثمرين، كما تتضمن رابطًا مباشرًا يُمكّن المستخدم من الانتقال إلى المنصة الحكومية الرسمية التابعة لوزارة التجارة والصناعة وترويج الاستثمار لإتمام إجراءات التقديم، ولا يتم تقديم الطلبات أو رفع المستندات عبر منصة الشركة. وضمن نطاق التفويض والصلاحيات التشغيلية المعتمدة، تضطلع شركة عالم الهجرة بدور تشغيلي مهني أساسي في المرحلة الأولى من دورة معالجة الطلبات المقدَّمة عبر المنصة الحكومية الرسمية، وذلك من خلال صلاحيات الوصول والاستخدام المعتمدة لها على تلك المنصة، بما يتيح لها التعامل مع الطلبات المقدَّمة عبر القنوات الحكومية ضمن الصلاحيات المعتمدة، ومراجعتها فنيًا، والتحقق من صحة البيانات والمستندات، وبذل العناية الواجبة اللازمة، وتقييم أهلية المستثمر، وإرشاده لاختيار المسار أو الخيار الاستثماري الأنسب وفق المعايير المعتمدة للبرنامج.</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 xml:space="preserve">وتشمل هذه المرحلة – دون حصر – التدقيق الأولي، استكمال النواقص، التحقق من الامتثال، التقييم المهني المبدئي، والمتابعة والإرشاد مع المستثمر، تمهيدًا لإصدار الموافقة المبدئية التشغيلية وتحويل الملف إلى وزارة التجارة والصناعة وترويج الاستثمار لاستكمال المرحلة الثانية والنهائية من المعالجة واتخاذ القرار السيادي بالموافقة أو الرفض، دون أن يشكّل ذلك قبولًا نهائيًا أو قرارًا إداريًا ملزمًا. ويُقر المستخدم علمه </w:t>
      </w:r>
      <w:r w:rsidRPr="007F70A4">
        <w:rPr>
          <w:rFonts w:ascii="Aptos" w:eastAsia="Times New Roman" w:hAnsi="Aptos" w:cs="Times New Roman"/>
          <w:color w:val="000000"/>
          <w:sz w:val="20"/>
          <w:szCs w:val="20"/>
          <w:rtl/>
        </w:rPr>
        <w:lastRenderedPageBreak/>
        <w:t>بأن هذا الدور التشغيلي يُمارَس ضمن إطار التفويض المعتمد، ولا يُفسَّر بأي حال من الأحوال على أنه تقديم للطلبات خارج القنوات الحكومية، أو تمثيل حكومي، أو تعهد بتحقيق نتيجة، أو ضمان للموافقة النهائية.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xml:space="preserve">6. </w:t>
      </w:r>
      <w:r w:rsidRPr="007F70A4">
        <w:rPr>
          <w:rFonts w:ascii="Aptos" w:eastAsia="Times New Roman" w:hAnsi="Aptos" w:cs="Times New Roman"/>
          <w:b/>
          <w:bCs/>
          <w:color w:val="000000"/>
          <w:sz w:val="20"/>
          <w:szCs w:val="20"/>
          <w:rtl/>
        </w:rPr>
        <w:t>التزامات المستخدم ومحظورات الاستخدام</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يلتزم المستخدم عند استخدام هذه المنصة بمجموعة من الضوابط لضمان الاستخدام القانوني والسليم، وتشمل ما يلي:</w:t>
      </w:r>
    </w:p>
    <w:p w:rsidR="007F70A4" w:rsidRPr="007F70A4" w:rsidRDefault="007F70A4" w:rsidP="007F70A4">
      <w:pPr>
        <w:numPr>
          <w:ilvl w:val="0"/>
          <w:numId w:val="1"/>
        </w:numPr>
        <w:bidi/>
        <w:spacing w:after="0" w:line="240" w:lineRule="auto"/>
        <w:jc w:val="both"/>
        <w:textAlignment w:val="baseline"/>
        <w:rPr>
          <w:rFonts w:ascii="Aptos" w:eastAsia="Times New Roman" w:hAnsi="Aptos" w:cs="Times New Roman"/>
          <w:color w:val="000000"/>
          <w:sz w:val="20"/>
          <w:szCs w:val="20"/>
          <w:rtl/>
        </w:rPr>
      </w:pPr>
      <w:r w:rsidRPr="007F70A4">
        <w:rPr>
          <w:rFonts w:ascii="Aptos" w:eastAsia="Times New Roman" w:hAnsi="Aptos" w:cs="Times New Roman"/>
          <w:b/>
          <w:bCs/>
          <w:color w:val="000000"/>
          <w:sz w:val="20"/>
          <w:szCs w:val="20"/>
          <w:rtl/>
        </w:rPr>
        <w:t>عدم إساءة استخدام المنصة أو الإضرار بها</w:t>
      </w:r>
      <w:r w:rsidRPr="007F70A4">
        <w:rPr>
          <w:rFonts w:ascii="Aptos" w:eastAsia="Times New Roman" w:hAnsi="Aptos" w:cs="Times New Roman"/>
          <w:color w:val="000000"/>
          <w:sz w:val="20"/>
          <w:szCs w:val="20"/>
          <w:rtl/>
        </w:rPr>
        <w:t>: يتعيّن على المستخدم الامتناع عن أي تصرف من شأنه تعطيل المنصة أو إحداث ضرر بها أو بأنظمتها، بما في ذلك على سبيل المثال لا الحصر إدخال فيروسات أو برمجيات خبيثة أو القيام بأي إجراء يسبب خللًا تقنيًا كذلك يُحظر محاولة الوصول غير المصرح به إلى أي جزء من المنصة أو خوادمها أو تجاوز التدابير الأمنية المطبّقة.</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2"/>
        </w:numPr>
        <w:bidi/>
        <w:spacing w:after="0"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t>الامتثال للقوانين والأنظمة</w:t>
      </w:r>
      <w:r w:rsidRPr="007F70A4">
        <w:rPr>
          <w:rFonts w:ascii="Aptos" w:eastAsia="Times New Roman" w:hAnsi="Aptos" w:cs="Times New Roman"/>
          <w:color w:val="000000"/>
          <w:sz w:val="20"/>
          <w:szCs w:val="20"/>
          <w:rtl/>
        </w:rPr>
        <w:t>: يجب عدم استخدام المنصة في أي نشاط غير مشروع أو بطريقة تنتهك القوانين واللوائح المعمول بها في سلطنة عمان أو في موطن المستخدم. ويتضمن ذلك عدم استخدامها لارتكاب جرائم، أو لنقل معلومات غير قانونية، أو لانتهاك حقوق الآخرين (مثل حقوق الملكية الفكرية أو الخصوصية).</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3"/>
        </w:numPr>
        <w:bidi/>
        <w:spacing w:after="0"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t>عدم تقديم محتوى أو مواد من قبل المستخدم</w:t>
      </w:r>
      <w:r w:rsidRPr="007F70A4">
        <w:rPr>
          <w:rFonts w:ascii="Aptos" w:eastAsia="Times New Roman" w:hAnsi="Aptos" w:cs="Times New Roman"/>
          <w:color w:val="000000"/>
          <w:sz w:val="20"/>
          <w:szCs w:val="20"/>
          <w:rtl/>
        </w:rPr>
        <w:t>: المنصة مخصّصة لعرض معلومات الشركة وخدماتها ومعلومات عن برنامج الإقامة الذهبية في سلطنة عمان والتواصل بشكل مباشر مع المستخدمين؛ لذلك يُحظر على المستخدمين تقديم أو نشر أي محتوى في المنصة. لا توفر المنصة منتديات أو مساحات تفاعلية لنشر منشورات أو تعليقات من قبل المستخدم، وأي محاولة لإدخال محتوى من طرف المستخدم (بما في ذلك نصوص أو صور أو روابط) قد تُزال على الفور.</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4"/>
        </w:numPr>
        <w:bidi/>
        <w:spacing w:after="0"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t>عدم إساءة استخدام خدمات التواصل</w:t>
      </w:r>
      <w:r w:rsidRPr="007F70A4">
        <w:rPr>
          <w:rFonts w:ascii="Aptos" w:eastAsia="Times New Roman" w:hAnsi="Aptos" w:cs="Times New Roman"/>
          <w:color w:val="000000"/>
          <w:sz w:val="20"/>
          <w:szCs w:val="20"/>
          <w:rtl/>
        </w:rPr>
        <w:t>: عند استخدام أي خاصية للتواصل مع الشركة عبر المنصة (مثل نماذج الاتصال أو حجز الاستشارات)، يتعين على المستخدم تقديم معلومات صحيحة ودقيقة، والالتزام بعدم إرسال أي رسائل تتضمن محتوى غير لائق أو مخالف.</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5"/>
        </w:numPr>
        <w:bidi/>
        <w:spacing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t>عدم محاولة الاختراق أو جمع البيانات بشكل غير مشروع</w:t>
      </w:r>
      <w:r w:rsidRPr="007F70A4">
        <w:rPr>
          <w:rFonts w:ascii="Aptos" w:eastAsia="Times New Roman" w:hAnsi="Aptos" w:cs="Times New Roman"/>
          <w:color w:val="000000"/>
          <w:sz w:val="20"/>
          <w:szCs w:val="20"/>
          <w:rtl/>
        </w:rPr>
        <w:t xml:space="preserve">: يُمنع على المستخدم محاولة اختراق المنصة أو الوصول إلى بيانات غير مخصّصة له أو القيام بعمليات تنقيب عن البيانات أو استخدام وسائل آلية (مثل </w:t>
      </w:r>
      <w:r w:rsidRPr="007F70A4">
        <w:rPr>
          <w:rFonts w:ascii="Aptos" w:eastAsia="Times New Roman" w:hAnsi="Aptos" w:cs="Times New Roman"/>
          <w:color w:val="000000"/>
          <w:sz w:val="20"/>
          <w:szCs w:val="20"/>
        </w:rPr>
        <w:t>bots</w:t>
      </w:r>
      <w:r w:rsidRPr="007F70A4">
        <w:rPr>
          <w:rFonts w:ascii="Aptos" w:eastAsia="Times New Roman" w:hAnsi="Aptos" w:cs="Times New Roman"/>
          <w:color w:val="000000"/>
          <w:sz w:val="20"/>
          <w:szCs w:val="20"/>
          <w:rtl/>
        </w:rPr>
        <w:t xml:space="preserve"> أو </w:t>
      </w:r>
      <w:r w:rsidRPr="007F70A4">
        <w:rPr>
          <w:rFonts w:ascii="Aptos" w:eastAsia="Times New Roman" w:hAnsi="Aptos" w:cs="Times New Roman"/>
          <w:color w:val="000000"/>
          <w:sz w:val="20"/>
          <w:szCs w:val="20"/>
        </w:rPr>
        <w:t xml:space="preserve">web scraping) </w:t>
      </w:r>
      <w:r w:rsidRPr="007F70A4">
        <w:rPr>
          <w:rFonts w:ascii="Aptos" w:eastAsia="Times New Roman" w:hAnsi="Aptos" w:cs="Times New Roman"/>
          <w:color w:val="000000"/>
          <w:sz w:val="20"/>
          <w:szCs w:val="20"/>
          <w:rtl/>
        </w:rPr>
        <w:t>لجمع المعلومات من المنصة دون تصريح.</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في حال انتهاك أي من الالتزامات أعلاه، تحتفظ الشركة بالحق في اتخاذ الإجراءات المناسبة بما في ذلك إلغاء أو تقييد وصول المستخدم إلى المنصة أو خدماتها، وإبلاغ السلطات المختصة عند اللزوم، والمطالبة بالتعويض عن أي ضرر ناتج. يقر المستخدم بأن أي مخالفة لهذه الشروط قد تعرضه للمساءلة القانونية المدنية و/أو الجنائية وفقًا للقوانين المعمول بها.</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7.</w:t>
      </w:r>
      <w:r w:rsidRPr="007F70A4">
        <w:rPr>
          <w:rFonts w:ascii="Aptos" w:eastAsia="Times New Roman" w:hAnsi="Aptos" w:cs="Times New Roman"/>
          <w:b/>
          <w:bCs/>
          <w:color w:val="000000"/>
          <w:sz w:val="20"/>
          <w:szCs w:val="20"/>
          <w:rtl/>
        </w:rPr>
        <w:t>الخدمات المدفوعة وشروط الدفع</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قد توفر الشركة عبر المنصة بعض الخدمات أو الميزات مدفوعة الأجر (مثل خدمات استشارية متقدمة أو باقات مساعدة مخصصة). في حال قرر المستخدم الاستفادة من أي خدمة مدفوعة، فإن الأحكام التالية تنطبق:</w:t>
      </w:r>
    </w:p>
    <w:p w:rsidR="007F70A4" w:rsidRPr="007F70A4" w:rsidRDefault="007F70A4" w:rsidP="007F70A4">
      <w:pPr>
        <w:numPr>
          <w:ilvl w:val="0"/>
          <w:numId w:val="6"/>
        </w:numPr>
        <w:bidi/>
        <w:spacing w:after="0" w:line="240" w:lineRule="auto"/>
        <w:jc w:val="both"/>
        <w:textAlignment w:val="baseline"/>
        <w:rPr>
          <w:rFonts w:ascii="Aptos" w:eastAsia="Times New Roman" w:hAnsi="Aptos" w:cs="Times New Roman"/>
          <w:color w:val="000000"/>
          <w:sz w:val="20"/>
          <w:szCs w:val="20"/>
          <w:rtl/>
        </w:rPr>
      </w:pPr>
      <w:r w:rsidRPr="007F70A4">
        <w:rPr>
          <w:rFonts w:ascii="Aptos" w:eastAsia="Times New Roman" w:hAnsi="Aptos" w:cs="Times New Roman"/>
          <w:b/>
          <w:bCs/>
          <w:color w:val="000000"/>
          <w:sz w:val="20"/>
          <w:szCs w:val="20"/>
          <w:rtl/>
        </w:rPr>
        <w:t>دفع الرسوم</w:t>
      </w:r>
      <w:r w:rsidRPr="007F70A4">
        <w:rPr>
          <w:rFonts w:ascii="Aptos" w:eastAsia="Times New Roman" w:hAnsi="Aptos" w:cs="Times New Roman"/>
          <w:color w:val="000000"/>
          <w:sz w:val="20"/>
          <w:szCs w:val="20"/>
          <w:rtl/>
        </w:rPr>
        <w:t>: يلتزم المستخدم بسداد كافة الرسوم أو التكاليف المعلنة لتلك الخدمة وفق الأسعار والعملة المحددة، وذلك من خلال وسائل الدفع المعتمدة وفي المواعيد المحددة. يجب على المستخدم توفير معلومات دفع صحيحة ودقيقة (مثل بيانات البطاقة أو التحويل) وضمان وجود رصيد كافٍ لإتمام الدفع.</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7"/>
        </w:numPr>
        <w:bidi/>
        <w:spacing w:after="0"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t>عدم السداد أو التراجع عن الدفع</w:t>
      </w:r>
      <w:r w:rsidRPr="007F70A4">
        <w:rPr>
          <w:rFonts w:ascii="Aptos" w:eastAsia="Times New Roman" w:hAnsi="Aptos" w:cs="Times New Roman"/>
          <w:color w:val="000000"/>
          <w:sz w:val="20"/>
          <w:szCs w:val="20"/>
          <w:rtl/>
        </w:rPr>
        <w:t>: في حال إخفاق المستخدم في سداد المبلغ المستحق أو إلغاء عملية الدفع بعد إتمامها، يحق للشركة تعليق تقديم الخدمة المطلوبة أو إلغاؤها بالكامل. يتحمل المستخدم أي تكاليف مصرفية أو رسوم ناتجة عن رفض أو عكس عملية الدفع (إن وجدت).</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8"/>
        </w:numPr>
        <w:bidi/>
        <w:spacing w:after="0"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lastRenderedPageBreak/>
        <w:t>سياسة الاسترداد</w:t>
      </w:r>
      <w:r w:rsidRPr="007F70A4">
        <w:rPr>
          <w:rFonts w:ascii="Aptos" w:eastAsia="Times New Roman" w:hAnsi="Aptos" w:cs="Times New Roman"/>
          <w:color w:val="000000"/>
          <w:sz w:val="20"/>
          <w:szCs w:val="20"/>
          <w:rtl/>
        </w:rPr>
        <w:t>: ما لم يُنَص صراحةً على خلاف ذلك في شروط خاصة بخدمة معينة، تعتبر جميع المدفوعات نهائية وغير قابلة للاسترداد بعد تقديم الخدمة أو المنتج المتفق عليه. لن يتم إصدار مبالغ مستردة للمستخدم إلا في الحالات التي يقتضيها القانون أو وفق تقدير الشركة المطلق في ظروف استثنائية.</w:t>
      </w:r>
    </w:p>
    <w:p w:rsidR="007F70A4" w:rsidRPr="007F70A4" w:rsidRDefault="007F70A4" w:rsidP="007F70A4">
      <w:pPr>
        <w:spacing w:after="0" w:line="240" w:lineRule="auto"/>
        <w:rPr>
          <w:rFonts w:ascii="Times New Roman" w:eastAsia="Times New Roman" w:hAnsi="Times New Roman" w:cs="Times New Roman"/>
          <w:sz w:val="24"/>
          <w:szCs w:val="24"/>
          <w:rtl/>
        </w:rPr>
      </w:pPr>
      <w:r w:rsidRPr="007F70A4">
        <w:rPr>
          <w:rFonts w:ascii="Times New Roman" w:eastAsia="Times New Roman" w:hAnsi="Times New Roman" w:cs="Times New Roman"/>
          <w:sz w:val="24"/>
          <w:szCs w:val="24"/>
        </w:rPr>
        <w:br/>
      </w:r>
    </w:p>
    <w:p w:rsidR="007F70A4" w:rsidRPr="007F70A4" w:rsidRDefault="007F70A4" w:rsidP="007F70A4">
      <w:pPr>
        <w:numPr>
          <w:ilvl w:val="0"/>
          <w:numId w:val="9"/>
        </w:numPr>
        <w:bidi/>
        <w:spacing w:line="240" w:lineRule="auto"/>
        <w:jc w:val="both"/>
        <w:textAlignment w:val="baseline"/>
        <w:rPr>
          <w:rFonts w:ascii="Aptos" w:eastAsia="Times New Roman" w:hAnsi="Aptos" w:cs="Times New Roman"/>
          <w:color w:val="000000"/>
          <w:sz w:val="20"/>
          <w:szCs w:val="20"/>
        </w:rPr>
      </w:pPr>
      <w:r w:rsidRPr="007F70A4">
        <w:rPr>
          <w:rFonts w:ascii="Aptos" w:eastAsia="Times New Roman" w:hAnsi="Aptos" w:cs="Times New Roman"/>
          <w:b/>
          <w:bCs/>
          <w:color w:val="000000"/>
          <w:sz w:val="20"/>
          <w:szCs w:val="20"/>
          <w:rtl/>
        </w:rPr>
        <w:t>تعديل الأسعار والرسوم</w:t>
      </w:r>
      <w:r w:rsidRPr="007F70A4">
        <w:rPr>
          <w:rFonts w:ascii="Aptos" w:eastAsia="Times New Roman" w:hAnsi="Aptos" w:cs="Times New Roman"/>
          <w:color w:val="000000"/>
          <w:sz w:val="20"/>
          <w:szCs w:val="20"/>
          <w:rtl/>
        </w:rPr>
        <w:t>: تحتفظ الشركة بالحق في تعديل أسعار الخدمات المدفوعة أو فرض رسوم جديدة في أي وقت. سيتم إعلام المستخدم بأي تغيير في الرسوم من خلال تحديث المعلومات على المنصة أو عبر وسائل الاتصال المتاحة قبل سريان التغيير. يعتبر استمرار المستخدم في طلب الخدمات المدفوعة بعد تعديل الأسعار موافقة ضمنية منه على الأسعار المعدلة.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يُقرّ المستخدم بأن مجرد دفعه لأي رسوم لقاء خدمات الشركة لا يضمن بشكل تلقائي تحقيق النتائج المرجوة (مثل الحصول على الإقامة الذهبية)، إذ يبقى ذلك خاضعًا لاستيفاء المتطلبات الرسمية وموافقة الجهات الحكومية المختصة.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8.</w:t>
      </w:r>
      <w:r w:rsidRPr="007F70A4">
        <w:rPr>
          <w:rFonts w:ascii="Aptos" w:eastAsia="Times New Roman" w:hAnsi="Aptos" w:cs="Times New Roman"/>
          <w:b/>
          <w:bCs/>
          <w:color w:val="000000"/>
          <w:sz w:val="20"/>
          <w:szCs w:val="20"/>
          <w:rtl/>
        </w:rPr>
        <w:t>حقوق الملكية الفكرية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تعود كافة حقوق الملكية الفكرية الخاصة بالمنصة ومحتوياتها إلى شركة عالم الهجرة أو الجهات المرخَّص لها. يشمل ذلك - على سبيل المثال لا الحصر - جميع النصوص والشعارات التجارية (“عالم الهجرة”) والصور والتصاميم والرسومات والبرمجيات وقواعد البيانات وأي محتوى آخر يظهر على المنصة. هذه المواد محمية بموجب قوانين الملكية الفكرية المحلية والدولية ذات الصلة.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 يُمنح المستخدم ترخيصًا محدودًا وغير حصري لاستخدام المنصة ومحتواها للأغراض الشخصية وغير التجارية وفقًا لهذه الشروط. يُحظر على المستخدم نسخ، أو إعادة إنتاج، أو نشر، أو بث، أو تعديل، أو توزيع أي جزء من محتويات المنصة أو تصميمها أو علاماتها التجارية دون إذن خطي مسبق من الشركة. كما يُمنع استخدام شعار أو اسم “عالم الهجرة” أو أي علامات تجارية أخرى خاصة بالشركة في أي مادة دعائية أو إعلامية أو غيرها دون موافقة رسمية.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 أي استخدام غير مصرّح به لمحتوى المنصة أو انتهاك لحقوق الملكية الفكرية للشركة سيُعرّض مرتكبه للإجراءات القانونية المدنية والجنائية وفق القوانين المعمول بها. تحتفظ الشركة بجميع الحقوق القانونية للدفاع عن ملكيتها الفكرية بما في ذلك طلب التعويضات المناسبة عن أي ضرر.</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9.</w:t>
      </w:r>
      <w:r w:rsidRPr="007F70A4">
        <w:rPr>
          <w:rFonts w:ascii="Aptos" w:eastAsia="Times New Roman" w:hAnsi="Aptos" w:cs="Times New Roman"/>
          <w:b/>
          <w:bCs/>
          <w:color w:val="000000"/>
          <w:sz w:val="20"/>
          <w:szCs w:val="20"/>
          <w:rtl/>
        </w:rPr>
        <w:t>إخلاء المسؤولية وتحديد المسؤولية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b/>
          <w:bCs/>
          <w:color w:val="000000"/>
          <w:sz w:val="20"/>
          <w:szCs w:val="20"/>
          <w:rtl/>
        </w:rPr>
        <w:t>إخلاء الضمانات</w:t>
      </w:r>
      <w:r w:rsidRPr="007F70A4">
        <w:rPr>
          <w:rFonts w:ascii="Aptos" w:eastAsia="Times New Roman" w:hAnsi="Aptos" w:cs="Times New Roman"/>
          <w:color w:val="000000"/>
          <w:sz w:val="20"/>
          <w:szCs w:val="20"/>
          <w:rtl/>
        </w:rPr>
        <w:t>: تُقدَّم المنصة وجميع المعلومات والخدمات المتاحة عبرها “كما هي” و” كما هي متوفرة” دون أي ضمانات صريحة أو ضمنية من قبل الشركة، لا تقدم الشركة أي تعهد بشأن دقة، أو حداثة، أو اكتمال محتوى المنصة، أو ملاءمته لغرض معين. على الرغم من سعي الشركة لتحديث المعلومات بشكل دوري والالتزام بالدقة، إلا أنها لا تضمن خلو المنصة تمامًا من الأخطاء أو الانقطاعات أو الثغرات الأمنية. يستخدم المستخدم المنصة وخدماتها على مسؤوليته الخاصة، وعليه التحقق من صحة المعلومات الهامة من المصادر الرسمية عند الاقتضاء. كما لا تضمن الشركة للمستخدم تحقيق أي نتائج محددة من خلال اعتماد المعلومات أو الخدمات الاستشارية المقدمة عبر المنصة – بما في ذلك (على سبيل المثال) الحصول على الموافقة على طلب الإقامة الذهبية – إذ إن منح الإقامة الرسمية خاضع حصريًا لسلطات الحكومة العمانية المختصة خارج نطاق سيطرة الشركة.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b/>
          <w:bCs/>
          <w:color w:val="000000"/>
          <w:sz w:val="20"/>
          <w:szCs w:val="20"/>
          <w:rtl/>
        </w:rPr>
        <w:t>تحديد المسؤولية</w:t>
      </w:r>
      <w:r w:rsidRPr="007F70A4">
        <w:rPr>
          <w:rFonts w:ascii="Aptos" w:eastAsia="Times New Roman" w:hAnsi="Aptos" w:cs="Times New Roman"/>
          <w:color w:val="000000"/>
          <w:sz w:val="20"/>
          <w:szCs w:val="20"/>
          <w:rtl/>
        </w:rPr>
        <w:t>: إلى أقصى حد يسمح به القانون، لا تتحمل الشركة (بما في ذلك مدراؤها وموظفوها ووكلاؤها) أي مسؤولية تجاه المستخدم عن أي أضرار أو خسائر تنشأ عن استخدام المنصة أو عدم القدرة على استخدامها، أو عن الاستفادة من أي معلومات أو خدمات توفرها. يشمل ذلك أي أضرار مباشرة، أو غير مباشرة، أو خاصة، أو تبعية، مثل خسارة الأرباح، أو ضياع الفرص، أو فقدان البيانات، أو انقطاع الأعمال أو تأخر الحصول على الخدمة، حتى لو كانت تلك الأضرار متوقعة أو قامت الشركة بتنبيهها باحتمال وقوعها، على سبيل المثال، لن تكون الشركة مسؤولة عن أي تأخير أو رفض يصدر من الجهات الحكومية بخصوص طلبات الإقامة الذهبية، أو عن أي اعتماد للمستخدم على معلومات قد تكون غير محدثة على المنصة. ويُقر المستخدم بأن الشركة غير مُلزمة بتحديث محتوى المنصة بشكل فوري أو مستمر. في جميع الأحوال، وإذا تقررت أي مسؤولية قانونية على الشركة بحكم قضائي نهائي، فإن مسؤوليتها الإجمالية لن تتجاوز في أقصى تقدير المبلغ الذي دفعه المستخدم (إن وُجد) نظير الخدمة ذات الصلة، وذلك في الحدود التي يسمح بها القانون.</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b/>
          <w:bCs/>
          <w:color w:val="000000"/>
          <w:sz w:val="20"/>
          <w:szCs w:val="20"/>
          <w:rtl/>
        </w:rPr>
        <w:t>محتوى وروابط الطرف الثالث</w:t>
      </w:r>
      <w:r w:rsidRPr="007F70A4">
        <w:rPr>
          <w:rFonts w:ascii="Aptos" w:eastAsia="Times New Roman" w:hAnsi="Aptos" w:cs="Times New Roman"/>
          <w:color w:val="000000"/>
          <w:sz w:val="20"/>
          <w:szCs w:val="20"/>
          <w:rtl/>
        </w:rPr>
        <w:t>: قد تتضمن المنصة روابط لمواقع إلكترونية أخرى تديرها جهات خارجية (مثال: مواقع حكومية رسمية أو شركاء أعمال أو مصادر معلومات إضافية). يتم توفير هذه الروابط لراحة المستخدم ولغرض توفير معلومات مكملة فقط. إن وجود أي رابط لموقع خارجي لا يعني مصادقة الشركة على محتواه أو ضمانها لسلامته، كما أنه لا يعني وجود أي علاقة تعاقدية أو قانونية بين الشركة ومالكي ذلك الموقع. لا تتحمل الشركة أي مسؤولية عن محتوى أو خدمات أو سياسات المواقع الخارجية التي قد يتم الوصول إليها عبر روابط المنصة، بما في ذلك مدى توفرها أو صحة معلوماتها أو أمانها التقني، يتم استخدام أي موقع خارجي عبر تلك الروابط على مسؤولية المستخدم الخاصة، وينصح المستخدم بمراجعة شروط الاستخدام وسياسات الخصوصية الخاصة بتلك المواقع قبل التعامل معها.</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b/>
          <w:bCs/>
          <w:color w:val="000000"/>
          <w:sz w:val="20"/>
          <w:szCs w:val="20"/>
          <w:rtl/>
        </w:rPr>
        <w:t>الأمان التقني</w:t>
      </w:r>
      <w:r w:rsidRPr="007F70A4">
        <w:rPr>
          <w:rFonts w:ascii="Aptos" w:eastAsia="Times New Roman" w:hAnsi="Aptos" w:cs="Times New Roman"/>
          <w:color w:val="000000"/>
          <w:sz w:val="20"/>
          <w:szCs w:val="20"/>
          <w:rtl/>
        </w:rPr>
        <w:t xml:space="preserve">: تبذل الشركة جهودًا معقولة للمحافظة على أمن المنصة وسلامة أنظمتها، إلا أنها لا تضمن أن المنصة خالية تمامًا من العناصر الضارة أو محاولات الاختراق. يتحمل المستخدم مسؤولية تأمين وسائطه الإلكترونية (مثل جهاز الحاسوب أو الهاتف) ضد الفيروسات </w:t>
      </w:r>
      <w:r w:rsidRPr="007F70A4">
        <w:rPr>
          <w:rFonts w:ascii="Aptos" w:eastAsia="Times New Roman" w:hAnsi="Aptos" w:cs="Times New Roman"/>
          <w:color w:val="000000"/>
          <w:sz w:val="20"/>
          <w:szCs w:val="20"/>
          <w:rtl/>
        </w:rPr>
        <w:lastRenderedPageBreak/>
        <w:t>وبرمجيات التجسس، وتنصح باستخدام برامج الحماية المناسبة وتحديثها دوريًا. الشركة غير مسؤولة عن أي ضرر قد يلحق بأجهزة المستخدم أو بياناته نتيجة دخوله إلى المنصة أو تحميل أي مواد منها، ما لم يكن ذلك الضرر ناتجًا بشكل مباشر عن إهمال جسيم من الشركة.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10.</w:t>
      </w:r>
      <w:r w:rsidRPr="007F70A4">
        <w:rPr>
          <w:rFonts w:ascii="Aptos" w:eastAsia="Times New Roman" w:hAnsi="Aptos" w:cs="Times New Roman"/>
          <w:b/>
          <w:bCs/>
          <w:color w:val="000000"/>
          <w:sz w:val="20"/>
          <w:szCs w:val="20"/>
          <w:rtl/>
        </w:rPr>
        <w:t>تعديل الشروط</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تحتفظ الشركة بحق تعديل أو تحديث هذه الشروط في أي وقت تراه مناسبًا. تصبح أي تعديلات سارية بمجرد نشر النسخة المحدثة من الشروط على المنصة، مع تحديث تاريخ “آخر تحديث” أعلاه للدلالة على ذلك. يُعد استمرارك في استخدام المنصة بعد نشر أي تعديلات موافقةً ضمنية منك على الشروط الجديدة. وإذا كانت لديك تحفظات على أي تعديل، يتوجب عليك التوقف فورًا عن استخدام المنصة. ننصح بمراجعة هذه الصفحة دوريًا للاطلاع على أحدث نسخة من الشروط. لن تكون الشركة مسؤولة عن إخطار كل مستخدم بالتعديلات بشكل فردي، ويُعد نشر التعديلات على المنصة إشعارًا كافيًا للمستخدمين.</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11.</w:t>
      </w:r>
      <w:r w:rsidRPr="007F70A4">
        <w:rPr>
          <w:rFonts w:ascii="Aptos" w:eastAsia="Times New Roman" w:hAnsi="Aptos" w:cs="Times New Roman"/>
          <w:b/>
          <w:bCs/>
          <w:color w:val="000000"/>
          <w:sz w:val="20"/>
          <w:szCs w:val="20"/>
          <w:rtl/>
        </w:rPr>
        <w:t>القوة القاهرة والقرارات السيادية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لا تتحمل شركة عالم الهجرة أي مسؤولية قانونية، مباشرة أو غير مباشرة، عن أي تأخير أو تعليق أو إلغاء أو تعديل كلي أو جزئي في برنامج الإقامة الذهبية في سلطنة عُمان أو إجراءاته أو متطلباته، إذا كان ذلك ناتجًا عن قرارات سيادية، أو تنظيمية، أو تشريعية، أو تعليمات صادرة عن الجهات الحكومية المختصة، أو عن ظروف خارجة عن إرادة الشركة، بما في ذلك – دون حصر – التغييرات في القوانين أو اللوائح، السياسات العامة، الأوضاع الاستثنائية، أو أي أحداث قوة قاهرة. ويقر المستخدم بأن هذه الأمور تقع خارج نطاق سيطرة الشركة، ولا يترتب عليها أي حق بالمطالبة بالتعويض أو رد الرسوم.</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 12.</w:t>
      </w:r>
      <w:r w:rsidRPr="007F70A4">
        <w:rPr>
          <w:rFonts w:ascii="Aptos" w:eastAsia="Times New Roman" w:hAnsi="Aptos" w:cs="Times New Roman"/>
          <w:b/>
          <w:bCs/>
          <w:color w:val="000000"/>
          <w:sz w:val="20"/>
          <w:szCs w:val="20"/>
          <w:rtl/>
        </w:rPr>
        <w:t>عدم إنشاء وكالة أو تمثيل أو شراكة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لا يُنشئ استخدام المنصة، أو التواصل مع شركة عالم الهجرة، أو الاستفادة من أي معلومات أو استشارات أو خدمات مقدمة عبرها، أي علاقة شراكة، أو وكالة، أو تمثيل قانوني، أو التزام تعاقدي ملزم بين المستخدم والشركة، ما لم يتم إبرام اتفاق مكتوب ومستقل وموقّع أصولًا بين الطرفين ينص صراحةً على ذلك. ويقر المستخدم بأن دور الشركة يقتصر على تقديم المعلومات والخدمات الاستشارية والتنسيقية وفق ما هو موضح في هذه الشروط، دون تحمل أي مسؤولية عن القرارات أو النتائج النهائية الصادرة عن الجهات المختصة.</w:t>
      </w:r>
    </w:p>
    <w:p w:rsidR="007F70A4" w:rsidRPr="007F70A4" w:rsidRDefault="007F70A4" w:rsidP="007F70A4">
      <w:pPr>
        <w:spacing w:after="0" w:line="240" w:lineRule="auto"/>
        <w:rPr>
          <w:rFonts w:ascii="Times New Roman" w:eastAsia="Times New Roman" w:hAnsi="Times New Roman" w:cs="Times New Roman"/>
          <w:sz w:val="24"/>
          <w:szCs w:val="24"/>
          <w:rtl/>
        </w:rPr>
      </w:pPr>
    </w:p>
    <w:p w:rsidR="007F70A4" w:rsidRPr="007F70A4" w:rsidRDefault="007F70A4" w:rsidP="007F70A4">
      <w:pPr>
        <w:bidi/>
        <w:spacing w:line="240" w:lineRule="auto"/>
        <w:jc w:val="both"/>
        <w:rPr>
          <w:rFonts w:ascii="Times New Roman" w:eastAsia="Times New Roman" w:hAnsi="Times New Roman" w:cs="Times New Roman"/>
          <w:sz w:val="24"/>
          <w:szCs w:val="24"/>
        </w:rPr>
      </w:pPr>
      <w:r w:rsidRPr="007F70A4">
        <w:rPr>
          <w:rFonts w:ascii="Aptos" w:eastAsia="Times New Roman" w:hAnsi="Aptos" w:cs="Times New Roman"/>
          <w:color w:val="000000"/>
          <w:sz w:val="20"/>
          <w:szCs w:val="20"/>
          <w:rtl/>
        </w:rPr>
        <w:t>13.</w:t>
      </w:r>
      <w:r w:rsidRPr="007F70A4">
        <w:rPr>
          <w:rFonts w:ascii="Aptos" w:eastAsia="Times New Roman" w:hAnsi="Aptos" w:cs="Times New Roman"/>
          <w:b/>
          <w:bCs/>
          <w:color w:val="000000"/>
          <w:sz w:val="20"/>
          <w:szCs w:val="20"/>
          <w:rtl/>
        </w:rPr>
        <w:t>اللغة المعتمدة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تم تحرير هذه الشروط والأحكام باللغة العربية، وتُعد النسخة العربية هي النسخة المعتمدة والملزمة قانونيًا. وفي حال ترجمة هذه الشروط إلى أي لغة أخرى، فإن النص العربي هو المرجع الوحيد في حال وجود أي تعارض أو اختلاف في التفسير أو التطبيق.</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 14.</w:t>
      </w:r>
      <w:r w:rsidRPr="007F70A4">
        <w:rPr>
          <w:rFonts w:ascii="Aptos" w:eastAsia="Times New Roman" w:hAnsi="Aptos" w:cs="Times New Roman"/>
          <w:b/>
          <w:bCs/>
          <w:color w:val="000000"/>
          <w:sz w:val="20"/>
          <w:szCs w:val="20"/>
          <w:rtl/>
        </w:rPr>
        <w:t>القانون الحاكم والاختصاص القضائي</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تخضع هذه الشروط وأي نزاع أو مطالبة تنشأ عنها أو تتعلق باستخدام المنصة للقوانين السارية في سلطنة عمان. كما تختص محاكم سلطنة عمان (وبالتحديد المحاكم المختصة في سلطنة عمان) حصريًا بالنظر في أي خلاف أو مطالبة من هذا القبيل. بذلك، يوافق المستخدم صراحةً على ولاية القضاء العماني للفصل في أي نزاع قانوني يتعلق بهذه الشروط أو باستخدامه للمنصة. وفي حال اعتُبرت أي مادة من هذه الشروط غير قانونية أو غير قابلة للتنفيذ بموجب القانون العماني، فإن ذلك لن يؤثر على قانونية أو قابلية تنفيذ المواد الأخرى المتبقية، التي ستظل سارية وملزمة بالكامل.</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15.</w:t>
      </w:r>
      <w:r w:rsidRPr="007F70A4">
        <w:rPr>
          <w:rFonts w:ascii="Aptos" w:eastAsia="Times New Roman" w:hAnsi="Aptos" w:cs="Times New Roman"/>
          <w:b/>
          <w:bCs/>
          <w:color w:val="000000"/>
          <w:sz w:val="20"/>
          <w:szCs w:val="20"/>
          <w:rtl/>
        </w:rPr>
        <w:t>باستخدامك هذه المنصة، فإنك تقر بأنك قرأت هذه الشروط والأحكام وفهمتها تمامًا وتوافق على الالتزام بها. إذا كان لديك أي استفسار بشأن هذه الشروط.</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يمكنك التواصل مع شركة عالم الهجرة عبر قنوات الاتصال المبيّنة في المنصة. شكراً لاختيارك منصة عالم الهجرة، ونرجو لك تجربة نافعة وآمنة.</w:t>
      </w:r>
    </w:p>
    <w:p w:rsidR="007F70A4" w:rsidRPr="007F70A4" w:rsidRDefault="007F70A4" w:rsidP="007F70A4">
      <w:pPr>
        <w:bidi/>
        <w:spacing w:line="240" w:lineRule="auto"/>
        <w:jc w:val="both"/>
        <w:rPr>
          <w:rFonts w:ascii="Times New Roman" w:eastAsia="Times New Roman" w:hAnsi="Times New Roman" w:cs="Times New Roman"/>
          <w:sz w:val="24"/>
          <w:szCs w:val="24"/>
          <w:rtl/>
        </w:rPr>
      </w:pPr>
      <w:r w:rsidRPr="007F70A4">
        <w:rPr>
          <w:rFonts w:ascii="Aptos" w:eastAsia="Times New Roman" w:hAnsi="Aptos" w:cs="Times New Roman"/>
          <w:color w:val="000000"/>
          <w:sz w:val="20"/>
          <w:szCs w:val="20"/>
          <w:rtl/>
        </w:rPr>
        <w:t>جميع الحقوق محفوظة. شركة عالم الهجرة. 2026. </w:t>
      </w:r>
    </w:p>
    <w:p w:rsidR="00973F31" w:rsidRDefault="00973F31"/>
    <w:sectPr w:rsidR="00973F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C6D"/>
    <w:multiLevelType w:val="multilevel"/>
    <w:tmpl w:val="7390BF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A591D"/>
    <w:multiLevelType w:val="multilevel"/>
    <w:tmpl w:val="EFB6C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9628E"/>
    <w:multiLevelType w:val="multilevel"/>
    <w:tmpl w:val="5CCEC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33017"/>
    <w:multiLevelType w:val="multilevel"/>
    <w:tmpl w:val="4844BC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34158"/>
    <w:multiLevelType w:val="multilevel"/>
    <w:tmpl w:val="1DD2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F5E41"/>
    <w:multiLevelType w:val="multilevel"/>
    <w:tmpl w:val="6C8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32AAE"/>
    <w:multiLevelType w:val="multilevel"/>
    <w:tmpl w:val="2EB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45D9C"/>
    <w:multiLevelType w:val="multilevel"/>
    <w:tmpl w:val="0B400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43FDD"/>
    <w:multiLevelType w:val="multilevel"/>
    <w:tmpl w:val="9E6A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2058B"/>
    <w:multiLevelType w:val="multilevel"/>
    <w:tmpl w:val="98C0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C761F"/>
    <w:multiLevelType w:val="multilevel"/>
    <w:tmpl w:val="9D4CFB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849FE"/>
    <w:multiLevelType w:val="multilevel"/>
    <w:tmpl w:val="A944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20733"/>
    <w:multiLevelType w:val="multilevel"/>
    <w:tmpl w:val="DD6047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3B3517"/>
    <w:multiLevelType w:val="multilevel"/>
    <w:tmpl w:val="FDAE8A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D0A18"/>
    <w:multiLevelType w:val="multilevel"/>
    <w:tmpl w:val="D6EA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B050B"/>
    <w:multiLevelType w:val="multilevel"/>
    <w:tmpl w:val="48B6F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8F020A"/>
    <w:multiLevelType w:val="multilevel"/>
    <w:tmpl w:val="EAA427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84DD0"/>
    <w:multiLevelType w:val="multilevel"/>
    <w:tmpl w:val="D0B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D38C3"/>
    <w:multiLevelType w:val="multilevel"/>
    <w:tmpl w:val="A34661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C40FB4"/>
    <w:multiLevelType w:val="multilevel"/>
    <w:tmpl w:val="4FF4D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506AD8"/>
    <w:multiLevelType w:val="multilevel"/>
    <w:tmpl w:val="7E5ABF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604FB2"/>
    <w:multiLevelType w:val="multilevel"/>
    <w:tmpl w:val="29FC00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61859"/>
    <w:multiLevelType w:val="multilevel"/>
    <w:tmpl w:val="7E6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612DE"/>
    <w:multiLevelType w:val="multilevel"/>
    <w:tmpl w:val="27E0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4"/>
  </w:num>
  <w:num w:numId="4">
    <w:abstractNumId w:val="14"/>
  </w:num>
  <w:num w:numId="5">
    <w:abstractNumId w:val="8"/>
  </w:num>
  <w:num w:numId="6">
    <w:abstractNumId w:val="6"/>
  </w:num>
  <w:num w:numId="7">
    <w:abstractNumId w:val="17"/>
  </w:num>
  <w:num w:numId="8">
    <w:abstractNumId w:val="5"/>
  </w:num>
  <w:num w:numId="9">
    <w:abstractNumId w:val="22"/>
  </w:num>
  <w:num w:numId="10">
    <w:abstractNumId w:val="9"/>
  </w:num>
  <w:num w:numId="11">
    <w:abstractNumId w:val="7"/>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10"/>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1"/>
    <w:lvlOverride w:ilvl="0">
      <w:lvl w:ilvl="0">
        <w:numFmt w:val="decimal"/>
        <w:lvlText w:val="%1."/>
        <w:lvlJc w:val="left"/>
      </w:lvl>
    </w:lvlOverride>
  </w:num>
  <w:num w:numId="18">
    <w:abstractNumId w:val="20"/>
    <w:lvlOverride w:ilvl="0">
      <w:lvl w:ilvl="0">
        <w:numFmt w:val="decimal"/>
        <w:lvlText w:val="%1."/>
        <w:lvlJc w:val="left"/>
      </w:lvl>
    </w:lvlOverride>
  </w:num>
  <w:num w:numId="19">
    <w:abstractNumId w:val="16"/>
    <w:lvlOverride w:ilvl="0">
      <w:lvl w:ilvl="0">
        <w:numFmt w:val="decimal"/>
        <w:lvlText w:val="%1."/>
        <w:lvlJc w:val="left"/>
      </w:lvl>
    </w:lvlOverride>
  </w:num>
  <w:num w:numId="20">
    <w:abstractNumId w:val="12"/>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13"/>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1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A4"/>
    <w:rsid w:val="00675E3C"/>
    <w:rsid w:val="007F70A4"/>
    <w:rsid w:val="00973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43DA"/>
  <w15:chartTrackingRefBased/>
  <w15:docId w15:val="{581DDC5B-FB0A-4284-962B-7913E725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0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7444">
      <w:bodyDiv w:val="1"/>
      <w:marLeft w:val="0"/>
      <w:marRight w:val="0"/>
      <w:marTop w:val="0"/>
      <w:marBottom w:val="0"/>
      <w:divBdr>
        <w:top w:val="none" w:sz="0" w:space="0" w:color="auto"/>
        <w:left w:val="none" w:sz="0" w:space="0" w:color="auto"/>
        <w:bottom w:val="none" w:sz="0" w:space="0" w:color="auto"/>
        <w:right w:val="none" w:sz="0" w:space="0" w:color="auto"/>
      </w:divBdr>
    </w:div>
    <w:div w:id="9380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2026-02-01T06:34:00Z</dcterms:created>
  <dcterms:modified xsi:type="dcterms:W3CDTF">2026-02-01T06:47:00Z</dcterms:modified>
</cp:coreProperties>
</file>